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06079E" w:rsidP="0019615E">
            <w:pPr>
              <w:tabs>
                <w:tab w:val="left" w:pos="5070"/>
                <w:tab w:val="left" w:pos="5366"/>
                <w:tab w:val="left" w:pos="6771"/>
                <w:tab w:val="left" w:pos="7363"/>
              </w:tabs>
              <w:jc w:val="both"/>
            </w:pPr>
            <w:r>
              <w:t>P</w:t>
            </w:r>
            <w:r w:rsidR="00CC03FA">
              <w:t>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C5CB9" w:rsidRPr="000B67EE" w:rsidRDefault="00664D68" w:rsidP="007C5CB9">
      <w:pPr>
        <w:tabs>
          <w:tab w:val="left" w:pos="14656"/>
        </w:tabs>
        <w:jc w:val="center"/>
        <w:rPr>
          <w:b/>
          <w:sz w:val="20"/>
          <w:szCs w:val="20"/>
          <w:lang w:eastAsia="lt-LT"/>
        </w:rPr>
      </w:pPr>
      <w:r>
        <w:rPr>
          <w:b/>
          <w:lang w:eastAsia="lt-LT"/>
        </w:rPr>
        <w:t>KLAIPĖDOS LOPŠELIO-</w:t>
      </w:r>
      <w:r w:rsidR="007C5CB9" w:rsidRPr="000B67EE">
        <w:rPr>
          <w:b/>
          <w:lang w:eastAsia="lt-LT"/>
        </w:rPr>
        <w:t>DARŽELIO „ČIAUŠKUTĖ“</w:t>
      </w:r>
    </w:p>
    <w:p w:rsidR="007C5CB9" w:rsidRPr="000B67EE" w:rsidRDefault="007C5CB9" w:rsidP="007C5CB9">
      <w:pPr>
        <w:jc w:val="center"/>
        <w:rPr>
          <w:b/>
          <w:lang w:eastAsia="lt-LT"/>
        </w:rPr>
      </w:pPr>
      <w:r>
        <w:rPr>
          <w:b/>
          <w:lang w:eastAsia="lt-LT"/>
        </w:rPr>
        <w:t>2022</w:t>
      </w:r>
      <w:r w:rsidRPr="000B67EE">
        <w:rPr>
          <w:b/>
          <w:lang w:eastAsia="lt-LT"/>
        </w:rPr>
        <w:t xml:space="preserve"> METŲ VEIKLOS ATASKAITA</w:t>
      </w:r>
    </w:p>
    <w:p w:rsidR="005221C1" w:rsidRPr="00F72A1E" w:rsidRDefault="005221C1" w:rsidP="0006079E">
      <w:pPr>
        <w:jc w:val="center"/>
      </w:pPr>
    </w:p>
    <w:p w:rsidR="007C5CB9" w:rsidRPr="007C5CB9" w:rsidRDefault="007C5CB9" w:rsidP="007C5CB9">
      <w:pPr>
        <w:ind w:firstLine="567"/>
        <w:jc w:val="both"/>
      </w:pPr>
      <w:r w:rsidRPr="007C5CB9">
        <w:t>Klaipėdos lopšelis-darželis „Čiauškutė“ (toliau – Įstaiga) įgyvendina ikimokyklinio, priešmokyklinio ugdymo programas, į kurias yra integruojamos neformaliojo ugdymo programos. Įstaigoje veikia du struktūriniai padaliniai – „Čiauškutės“ ir „Šermukšnėlės“ skyriai. 2022 m. rugsėjo 1 d. Įstaigoje buvo ugdomi 273 vaikai, iš jų 58 ugdytiniai, turintys didelių specialiųjų ugdymo(si) poreikių. Ugdymas vyksta lietuvių ir rusų kalbomis, veikia 17 grupių, iš jų 4 ankstyvojo amžiaus grupės, 6 ikimokyklinio ugdymo grupių, 2 priešmokyklinio ugdymo grupės; 4 specialiojo ikimokyklinio ugdymo grupės, 1 jungtinė ikimokyklinio ir priešmokyklinio ugdymo grupė, kuriose ugdomi vaikai</w:t>
      </w:r>
      <w:r w:rsidR="00B52055">
        <w:t>,</w:t>
      </w:r>
      <w:r w:rsidRPr="007C5CB9">
        <w:t xml:space="preserve"> turintys didelių specialiųjų ugdymosi poreikių. Dirba 52 pedagoginiai ir 50 nepedagoginių darbuotojų</w:t>
      </w:r>
      <w:r w:rsidR="00B52055">
        <w:t>.</w:t>
      </w:r>
    </w:p>
    <w:p w:rsidR="007C5CB9" w:rsidRPr="007C5CB9" w:rsidRDefault="007C5CB9" w:rsidP="007C5CB9">
      <w:pPr>
        <w:ind w:firstLine="567"/>
        <w:jc w:val="both"/>
      </w:pPr>
      <w:r w:rsidRPr="007C5CB9">
        <w:t xml:space="preserve">Įstaiga vadovaudamasi 2022–2024 m. strateginiu (toliau – Strateginis planas) ir 2022 metų veiklos planais (toliau – Veiklos planas) numatė šias prioritetines veiklos kryptis: </w:t>
      </w:r>
      <w:r w:rsidRPr="007C5CB9">
        <w:rPr>
          <w:rFonts w:eastAsia="+mn-ea"/>
          <w:color w:val="000000"/>
          <w:kern w:val="24"/>
        </w:rPr>
        <w:t>mokytojų skaitmeninio raštingumo kompetencijų tobulinimas</w:t>
      </w:r>
      <w:r w:rsidR="00B52055">
        <w:rPr>
          <w:rFonts w:eastAsia="+mn-ea"/>
          <w:color w:val="000000"/>
          <w:kern w:val="24"/>
        </w:rPr>
        <w:t>,</w:t>
      </w:r>
      <w:r w:rsidRPr="007C5CB9">
        <w:rPr>
          <w:rFonts w:eastAsia="+mn-ea"/>
          <w:color w:val="000000"/>
          <w:kern w:val="24"/>
        </w:rPr>
        <w:t xml:space="preserve"> naudojant informacines komunikacines technologijas ir skaitmeninį ugdymo turinį; ugdytinių pasiekimų ir veiksmingos švietimo pagalbos teikimas įvairių gebėjimų ugdytiniams, taikant pažangos matavimo sistemą; duomenų analize ir įsivertinimu pagrįstos švietimo turinio ir vadybos kokybės užtikrinimas, kuriant savivaldos, </w:t>
      </w:r>
      <w:r w:rsidR="00B52055">
        <w:rPr>
          <w:rFonts w:eastAsia="+mn-ea"/>
          <w:color w:val="000000"/>
          <w:kern w:val="24"/>
        </w:rPr>
        <w:t>Į</w:t>
      </w:r>
      <w:r w:rsidRPr="007C5CB9">
        <w:rPr>
          <w:rFonts w:eastAsia="+mn-ea"/>
          <w:color w:val="000000"/>
          <w:kern w:val="24"/>
        </w:rPr>
        <w:t>staigos vadovų ir socialinės partnerystės darną.</w:t>
      </w:r>
    </w:p>
    <w:p w:rsidR="007C5CB9" w:rsidRPr="007C5CB9" w:rsidRDefault="007C5CB9" w:rsidP="007C5CB9">
      <w:pPr>
        <w:ind w:firstLine="567"/>
        <w:jc w:val="both"/>
      </w:pPr>
      <w:r w:rsidRPr="007C5CB9">
        <w:t>Siekiant Strateginio plano pirmojo tikslo – užtikrinti kokybišką ugdymo proceso organizavimą</w:t>
      </w:r>
      <w:r w:rsidRPr="007C5CB9">
        <w:rPr>
          <w:rFonts w:eastAsia="Calibri"/>
          <w:lang w:eastAsia="lt-LT"/>
        </w:rPr>
        <w:t xml:space="preserve"> </w:t>
      </w:r>
      <w:r w:rsidRPr="007C5CB9">
        <w:t xml:space="preserve">– Įstaigos veikla buvo orientuota į kokybišką ugdymą(si), teikiant informacinę, konsultacinę, kvalifikacijos tobulinimo pagalbą. Tikslui pasiekti buvo vykdomi 2 Veiklos plano uždaviniai: </w:t>
      </w:r>
    </w:p>
    <w:p w:rsidR="007C5CB9" w:rsidRPr="007C5CB9" w:rsidRDefault="007C5CB9" w:rsidP="007C5CB9">
      <w:pPr>
        <w:ind w:firstLine="567"/>
        <w:jc w:val="both"/>
      </w:pPr>
      <w:r w:rsidRPr="007C5CB9">
        <w:t xml:space="preserve">  ̶  įgyvendinant pirmąjį uždavinį – sudaryti sąlygas ugdytis ir gerinti ugdymo proceso kokybę, siekiant tikslų ir uždavinių dermės, užtikrinant programų įvairovę, telkiant bendruomenę – vykdytos ikimokyklinio ir priešmokyklinio ugdymo programos. Į ikimokyklinio ugdymo programą integruotos neformaliojo švietimo (fizinio aktyvumo, sveikos gyvensenos, tyrinėjimų, eksperimentų ir inžinerijos) programos, kuriose dalyvavo visi ugdytiniai</w:t>
      </w:r>
      <w:r w:rsidR="00B52055">
        <w:t xml:space="preserve">. </w:t>
      </w:r>
      <w:r w:rsidRPr="007C5CB9">
        <w:t xml:space="preserve">Ruošiantis atnaujintos priešmokyklinio ugdymo programos įgyvendinimui, dalyvauta nacionaliniuose mokymuose. Įstaiga įgyvendina atnaujintą priešmokyklinio ugdymo bendrąją programą, į kurią integruota tarptautinė Lions Qest socialinių ir emocinių įgūdžių programa „Laikas kartu“. </w:t>
      </w:r>
    </w:p>
    <w:p w:rsidR="007C5CB9" w:rsidRPr="007C5CB9" w:rsidRDefault="007C5CB9" w:rsidP="007C5CB9">
      <w:pPr>
        <w:ind w:firstLine="567"/>
        <w:jc w:val="both"/>
        <w:rPr>
          <w:rFonts w:eastAsia="+mn-ea"/>
          <w:color w:val="000000"/>
          <w:kern w:val="24"/>
          <w:lang w:eastAsia="lt-LT"/>
        </w:rPr>
      </w:pPr>
      <w:r w:rsidRPr="007C5CB9">
        <w:t>Mokytojai suorganizavo 13 projektinių savaičių, kurių metu buvo skatinamas vaikų fizinis aktyvumas, sveika gyvensena, socialinis emocinis, rišliosios kalbos ugdymas, matematinių vaizdinių formavimas, gamtos pažinimas ir aplinkos tyrinėjimas. Mokytojai su ugdytiniais dalyvavo 10 tarptautiniuose</w:t>
      </w:r>
      <w:r w:rsidR="0076524D">
        <w:t xml:space="preserve">, </w:t>
      </w:r>
      <w:r w:rsidRPr="007C5CB9">
        <w:t>37 respublikiniuose nuotoliniuose projektuose, parodose. 92 % mokytojų ugdymo procese naudoja IKT, teikdami tėvams grįžtamąjį ryšį (filmuotos grupių veiklos, kalendorinių švenčių fragmentai). Virtualioje aplinkoje vyksta mokytojų kvalifikaciniai renginiai: parengti 4 pranešimai, kuri</w:t>
      </w:r>
      <w:r w:rsidR="0076524D">
        <w:t>e</w:t>
      </w:r>
      <w:r w:rsidRPr="007C5CB9">
        <w:t xml:space="preserve"> skait</w:t>
      </w:r>
      <w:r w:rsidR="0076524D">
        <w:t>yti</w:t>
      </w:r>
      <w:r w:rsidRPr="007C5CB9">
        <w:t xml:space="preserve"> miesto metodiniuose renginiuose. Įstaigos pedagoginiams darbuotojams organizuoti kvalifikacijos tobulinimo renginiai: „Nuoseklaus socialinio emocinio ugdymo plėtojimas mokykloje“, „Lions Quest „Laikas kartu“,  </w:t>
      </w:r>
      <w:r w:rsidRPr="007C5CB9">
        <w:rPr>
          <w:lang w:eastAsia="lt-LT"/>
        </w:rPr>
        <w:t xml:space="preserve">„Kaip kuriamas pasitikėjimas“, „Komunikacijos pagrindai“. </w:t>
      </w:r>
      <w:r w:rsidRPr="007C5CB9">
        <w:t>Įstaiga i</w:t>
      </w:r>
      <w:r w:rsidRPr="007C5CB9">
        <w:rPr>
          <w:rFonts w:eastAsia="+mn-ea"/>
          <w:color w:val="000000"/>
          <w:kern w:val="24"/>
          <w:lang w:eastAsia="lt-LT"/>
        </w:rPr>
        <w:t>nicijavo ir įgyvendino respublikinį projektą „Pasveikink Klaipėdą iš savo vaikystės uosto“. Miesto jubiliejui paminėti, bendradarbiaujant su socialiniais partneriais (dalyvavo 4 ikimokyklinės ugdymo įstaigos), įgyvendintas projektas „Mano vaikystės uostas“.</w:t>
      </w:r>
    </w:p>
    <w:p w:rsidR="007C5CB9" w:rsidRPr="007C5CB9" w:rsidRDefault="007C5CB9" w:rsidP="007C5CB9">
      <w:pPr>
        <w:ind w:firstLine="567"/>
        <w:jc w:val="both"/>
        <w:rPr>
          <w:rFonts w:eastAsia="+mn-ea"/>
          <w:color w:val="000000"/>
          <w:kern w:val="24"/>
          <w:lang w:eastAsia="lt-LT"/>
        </w:rPr>
      </w:pPr>
      <w:r w:rsidRPr="007C5CB9">
        <w:rPr>
          <w:rFonts w:eastAsia="+mn-ea"/>
          <w:kern w:val="24"/>
          <w:lang w:eastAsia="lt-LT"/>
        </w:rPr>
        <w:t>Lietuvos nacionalinio radijo ir televizijos organizuotame konkurse „Dainų dainelė 2022“ Įstaigos ugdytinė tapo laureate.</w:t>
      </w:r>
    </w:p>
    <w:p w:rsidR="007C5CB9" w:rsidRPr="007C5CB9" w:rsidRDefault="007C5CB9" w:rsidP="007C5CB9">
      <w:pPr>
        <w:ind w:firstLine="567"/>
        <w:jc w:val="both"/>
        <w:rPr>
          <w:rFonts w:eastAsia="+mn-ea"/>
          <w:color w:val="000000"/>
          <w:kern w:val="24"/>
          <w:lang w:eastAsia="lt-LT"/>
        </w:rPr>
      </w:pPr>
      <w:r w:rsidRPr="007C5CB9">
        <w:lastRenderedPageBreak/>
        <w:t xml:space="preserve">Įstaigos bendruomenė, būdama nacionalinio sveikatą stiprinančių „Sveikos mokyklos ir „Aktyvios mokyklos“ nare, įgyvendino sveikatą stiprinančios mokyklos idėjas prigimtiniams vaiko poreikiams tenkinti, integruojant fizinį aktyvumą į kasdienį Įstaigos gyvenimą. Dalyvauta ilgalaikiuose projektuose </w:t>
      </w:r>
      <w:r w:rsidRPr="007C5CB9">
        <w:rPr>
          <w:rFonts w:eastAsiaTheme="minorHAnsi"/>
          <w:shd w:val="clear" w:color="auto" w:fill="FFFFFF"/>
        </w:rPr>
        <w:t>„Teniso integracija mokyklose ir darželiuose“</w:t>
      </w:r>
      <w:r w:rsidRPr="007C5CB9">
        <w:t xml:space="preserve">, „Sveikatiada“, taip pat Lietuvos masinio futbolo asociacijos edukaciniame projekte „Futboliukas“ 2021–2022 metų sezone, kuriame numatytos ir atliktos užduotys bei prisidėta prie vaikų aktyvios gyvensenos skatinimo. Siekiant gerinti </w:t>
      </w:r>
      <w:r w:rsidR="00B52055">
        <w:t>Į</w:t>
      </w:r>
      <w:r w:rsidRPr="007C5CB9">
        <w:t>staigos ugdymo(si) sąlygas ir aplinką</w:t>
      </w:r>
      <w:r w:rsidRPr="007C5CB9">
        <w:rPr>
          <w:b/>
        </w:rPr>
        <w:t xml:space="preserve">, </w:t>
      </w:r>
      <w:r w:rsidRPr="007C5CB9">
        <w:t>patobulinti pedagoginius gebėjimus, kuriant saugią emocinę aplinką, užtikrinančią gerą ugdytinių ir darbuotojų saugią emocinę savijautą – Įstaiga dalyvavo Klaipėdos miesto visuomenės sveikatos biuro (toliau – Biuro) organizuotuose psichinės sveikatos stiprinimo ir sveikos aplinkos kūrimo užsiėmimuose „Meno terapija“ ir „Asmens burnos higiena“. Įstaiga 2022 m. dalyvavo organizuotame Biuro konkurse „Judriausias darželis“ ir inicijavo bei organizavo 62 veiklas</w:t>
      </w:r>
      <w:r w:rsidR="0076524D">
        <w:t>,</w:t>
      </w:r>
      <w:r w:rsidRPr="007C5CB9">
        <w:t xml:space="preserve"> skirtas sveikatinimui ir judumui.</w:t>
      </w:r>
    </w:p>
    <w:p w:rsidR="007C5CB9" w:rsidRPr="007C5CB9" w:rsidRDefault="007C5CB9" w:rsidP="007C5CB9">
      <w:pPr>
        <w:ind w:firstLine="567"/>
        <w:jc w:val="both"/>
        <w:rPr>
          <w:lang w:eastAsia="lt-LT"/>
        </w:rPr>
      </w:pPr>
      <w:r w:rsidRPr="007C5CB9">
        <w:t>̶  įgyvendinant antrąjį uždavinį – teikti papildomas paslaugas – buvo sėkmingai įvykdytos priemonės teikiant švietimo pagalbą. 60 ugdytinių, turintiems kalbos ir kalbėjimo sutrikim</w:t>
      </w:r>
      <w:r w:rsidR="0076524D">
        <w:t>ų</w:t>
      </w:r>
      <w:r w:rsidRPr="007C5CB9">
        <w:t xml:space="preserve">, teikta logopedo pagalba. </w:t>
      </w:r>
      <w:r w:rsidRPr="007C5CB9">
        <w:rPr>
          <w:lang w:eastAsia="lt-LT"/>
        </w:rPr>
        <w:t xml:space="preserve">Vaiko gerovės komisijos posėdžiuose svarstyti 58 vaikų, turinčių didelių specialiųjų ugdymosi poreikių, ugdymo(si) pažanga ir mokymosi sunkumai bei teikta </w:t>
      </w:r>
      <w:r w:rsidRPr="007C5CB9">
        <w:t>švietimo pagalba; vykdytos individualios konsultacijos tėvams, tartasi dėl pagalbos būdų. Parengti ir įgyvendinti individualūs pagalbos ir stebėsenos planai. Pagalbą teikė 5 logopedai, 3 specialieji pedagogai, 1 judesio korekcijos mokytojas.</w:t>
      </w:r>
      <w:r w:rsidRPr="007C5CB9">
        <w:rPr>
          <w:lang w:eastAsia="lt-LT"/>
        </w:rPr>
        <w:t xml:space="preserve"> Teikta logopedo pagalba 88 ugdytiniams, specialiojo pedagogo – 32 ugdytiniams. Bendradarbiaujant su Klaipėdos pedagogine psichologine tarnyba, teik</w:t>
      </w:r>
      <w:r w:rsidR="00345E1A">
        <w:rPr>
          <w:lang w:eastAsia="lt-LT"/>
        </w:rPr>
        <w:t>t</w:t>
      </w:r>
      <w:r w:rsidRPr="007C5CB9">
        <w:rPr>
          <w:lang w:eastAsia="lt-LT"/>
        </w:rPr>
        <w:t>i dokumentai vaikų pakartotiniam vertinimui. Įstaigoje 2022 m. rugsėjo 1 d. įsteigt</w:t>
      </w:r>
      <w:r w:rsidR="00345E1A">
        <w:rPr>
          <w:lang w:eastAsia="lt-LT"/>
        </w:rPr>
        <w:t>a</w:t>
      </w:r>
      <w:r w:rsidRPr="007C5CB9">
        <w:rPr>
          <w:lang w:eastAsia="lt-LT"/>
        </w:rPr>
        <w:t xml:space="preserve"> 10 mokytojo padėjėjų etatų</w:t>
      </w:r>
      <w:r w:rsidR="00345E1A">
        <w:rPr>
          <w:lang w:eastAsia="lt-LT"/>
        </w:rPr>
        <w:t>.</w:t>
      </w:r>
    </w:p>
    <w:p w:rsidR="00345E1A" w:rsidRPr="00345E1A" w:rsidRDefault="007C5CB9" w:rsidP="007C5CB9">
      <w:pPr>
        <w:shd w:val="clear" w:color="auto" w:fill="FFFFFF"/>
        <w:ind w:firstLine="567"/>
        <w:jc w:val="both"/>
        <w:rPr>
          <w:lang w:eastAsia="lt-LT"/>
        </w:rPr>
      </w:pPr>
      <w:r w:rsidRPr="007C5CB9">
        <w:rPr>
          <w:lang w:eastAsia="lt-LT"/>
        </w:rPr>
        <w:t xml:space="preserve">Mokytojai turėjo galimybę rinktis ugdymo būdus bei metodus, atsižvelgiant į ugdytinių poreikius ir gebėjimus. Elektroninėje platformoje </w:t>
      </w:r>
      <w:r w:rsidR="00345E1A" w:rsidRPr="00345E1A">
        <w:rPr>
          <w:lang w:eastAsia="lt-LT"/>
        </w:rPr>
        <w:t>(</w:t>
      </w:r>
      <w:r w:rsidR="00345E1A" w:rsidRPr="00345E1A">
        <w:rPr>
          <w:lang w:eastAsia="lt-LT"/>
        </w:rPr>
        <w:fldChar w:fldCharType="begin"/>
      </w:r>
      <w:r w:rsidR="00345E1A" w:rsidRPr="00345E1A">
        <w:rPr>
          <w:lang w:eastAsia="lt-LT"/>
        </w:rPr>
        <w:instrText xml:space="preserve"> HYPERLINK "https://musudarzelis.com) pildomi vaikų pasiekimai ir pažanga bei suteikiama informacija tėvams. Ugdytinių vertinimo rezultatai naudojami kokybiniams vaikų pokyčiams nustatyti ir vykdyti kryptingą ugdymą.</w:instrText>
      </w:r>
    </w:p>
    <w:p w:rsidR="00345E1A" w:rsidRPr="00345E1A" w:rsidRDefault="00345E1A" w:rsidP="007C5CB9">
      <w:pPr>
        <w:shd w:val="clear" w:color="auto" w:fill="FFFFFF"/>
        <w:ind w:firstLine="567"/>
        <w:jc w:val="both"/>
        <w:rPr>
          <w:rStyle w:val="Hipersaitas"/>
          <w:color w:val="auto"/>
          <w:u w:val="none"/>
          <w:lang w:eastAsia="lt-LT"/>
        </w:rPr>
      </w:pPr>
      <w:r w:rsidRPr="00345E1A">
        <w:rPr>
          <w:lang w:eastAsia="lt-LT"/>
        </w:rPr>
        <w:instrText xml:space="preserve">" </w:instrText>
      </w:r>
      <w:r w:rsidRPr="00345E1A">
        <w:rPr>
          <w:lang w:eastAsia="lt-LT"/>
        </w:rPr>
        <w:fldChar w:fldCharType="separate"/>
      </w:r>
      <w:r w:rsidRPr="00345E1A">
        <w:rPr>
          <w:rStyle w:val="Hipersaitas"/>
          <w:color w:val="auto"/>
          <w:u w:val="none"/>
          <w:lang w:eastAsia="lt-LT"/>
        </w:rPr>
        <w:t>https://musudarzelis.com) pildomi vaikų pasiekimai ir pažanga bei suteikiama informacija tėvams. Ugdytinių vertinimo rezultatai naudojami kokybiniams vaikų pokyčiams nustatyti ir vykdyti kryptingą ugdymą.</w:t>
      </w:r>
    </w:p>
    <w:p w:rsidR="007C5CB9" w:rsidRPr="007C5CB9" w:rsidRDefault="00345E1A" w:rsidP="007C5CB9">
      <w:pPr>
        <w:ind w:firstLine="567"/>
        <w:jc w:val="both"/>
        <w:rPr>
          <w:lang w:eastAsia="lt-LT"/>
        </w:rPr>
      </w:pPr>
      <w:r w:rsidRPr="00345E1A">
        <w:rPr>
          <w:lang w:eastAsia="lt-LT"/>
        </w:rPr>
        <w:fldChar w:fldCharType="end"/>
      </w:r>
      <w:r w:rsidR="007C5CB9" w:rsidRPr="007C5CB9">
        <w:rPr>
          <w:lang w:eastAsia="lt-LT"/>
        </w:rPr>
        <w:t xml:space="preserve">Sudarytos sąlygos </w:t>
      </w:r>
      <w:r w:rsidR="007C5CB9" w:rsidRPr="007C5CB9">
        <w:t xml:space="preserve">273 ugdytiniams teikti sveikatai palankų maistą </w:t>
      </w:r>
      <w:r w:rsidR="007C5CB9" w:rsidRPr="007C5CB9">
        <w:rPr>
          <w:rFonts w:eastAsiaTheme="minorHAnsi"/>
          <w:color w:val="000000" w:themeColor="text1"/>
        </w:rPr>
        <w:t xml:space="preserve">3 kartus per dieną. Maisto gamyba vykdoma pagal Geros higienos praktikos, Lietuvos HN15:2005 „Maisto higiena“ reikalavimus atitinkančioje virtuvėje. Maisto gaminimui  užtikrinamas saugių ir sveikų produktų tiekimas, atitinkantis maisto saugos reikalavimus. Įstaiga dalyvauja „Vaisių ir daržovių“ bei „Pieno ir pieno produktų“ vartojimo skatinimo vaikų ugdymo įstaigose programose. </w:t>
      </w:r>
    </w:p>
    <w:p w:rsidR="007C5CB9" w:rsidRPr="007C5CB9" w:rsidRDefault="007C5CB9" w:rsidP="007C5CB9">
      <w:pPr>
        <w:ind w:firstLine="567"/>
        <w:contextualSpacing/>
        <w:jc w:val="both"/>
      </w:pPr>
      <w:r w:rsidRPr="007C5CB9">
        <w:t>Siekiant Strateginio plano antrojo tikslo – užtikrinti sveiką, saugią ir šiuolaikinius ugdymo(si) reikalavimus atitinkančią aplinką – Įstaigos veikla buvo orientuojama į edukacinių aplinkų kūrimą, šiuolaikinių ugdymo(si) priemonių įsigijimą.</w:t>
      </w:r>
    </w:p>
    <w:p w:rsidR="007C5CB9" w:rsidRPr="007C5CB9" w:rsidRDefault="007C5CB9" w:rsidP="007C5CB9">
      <w:pPr>
        <w:ind w:firstLine="567"/>
        <w:contextualSpacing/>
        <w:jc w:val="both"/>
      </w:pPr>
      <w:r w:rsidRPr="007C5CB9">
        <w:t xml:space="preserve">Tikslui pasiekti buvo vykdomas veiklos plano pirmasis uždavinys – gerinti </w:t>
      </w:r>
      <w:r w:rsidR="00B52055">
        <w:t>Į</w:t>
      </w:r>
      <w:r w:rsidRPr="007C5CB9">
        <w:t>staigos ugdymo(si) sąlygas ir aplinką</w:t>
      </w:r>
      <w:r w:rsidR="00345E1A">
        <w:t>. Į</w:t>
      </w:r>
      <w:r w:rsidRPr="007C5CB9">
        <w:t>vykdyti kontroliuojančių institucijų nurodymai. Atnaujinti „Šermukšnėlės“ skyriaus 4 lauko įėjimų aikštelės ir laiptų pakopos. Atlikti sanitarinių mazgų remonto darbai (3</w:t>
      </w:r>
      <w:r w:rsidR="00345E1A">
        <w:t xml:space="preserve"> </w:t>
      </w:r>
      <w:r w:rsidRPr="007C5CB9">
        <w:t>544 Eur), lauko laiptų ir pastato sienos remonto darbai (5</w:t>
      </w:r>
      <w:r w:rsidR="00345E1A">
        <w:t xml:space="preserve"> </w:t>
      </w:r>
      <w:r w:rsidRPr="007C5CB9">
        <w:t xml:space="preserve">240 Eur), </w:t>
      </w:r>
      <w:r w:rsidRPr="007C5CB9">
        <w:rPr>
          <w:rFonts w:eastAsia="Calibri"/>
        </w:rPr>
        <w:t>medžių genėjimo, pjovimo, aplinkos tvarkymo darbai (2</w:t>
      </w:r>
      <w:r w:rsidR="00345E1A">
        <w:rPr>
          <w:rFonts w:eastAsia="Calibri"/>
        </w:rPr>
        <w:t xml:space="preserve"> </w:t>
      </w:r>
      <w:r w:rsidRPr="007C5CB9">
        <w:rPr>
          <w:rFonts w:eastAsia="Calibri"/>
        </w:rPr>
        <w:t xml:space="preserve">105 Eur). </w:t>
      </w:r>
      <w:r w:rsidRPr="007C5CB9">
        <w:t>Atnaujintos smėlio dėžės (4</w:t>
      </w:r>
      <w:r w:rsidR="00345E1A">
        <w:t xml:space="preserve"> </w:t>
      </w:r>
      <w:r w:rsidRPr="007C5CB9">
        <w:t>212 Eur). Įsigyta virtuvės įranga (5</w:t>
      </w:r>
      <w:r w:rsidR="00345E1A">
        <w:t xml:space="preserve"> </w:t>
      </w:r>
      <w:r w:rsidRPr="007C5CB9">
        <w:t>082 Eur), atnaujintas virtuvės inventorius (1</w:t>
      </w:r>
      <w:r w:rsidR="00345E1A">
        <w:t xml:space="preserve"> </w:t>
      </w:r>
      <w:r w:rsidRPr="007C5CB9">
        <w:t>810 Eur), minkštas inventorius: patalynė, rankšluosčiai, darbo rūbai (2</w:t>
      </w:r>
      <w:r w:rsidR="00345E1A">
        <w:t xml:space="preserve"> </w:t>
      </w:r>
      <w:r w:rsidRPr="007C5CB9">
        <w:t>780 Eur). Suremontuotos 2 grupių rūbinių patalpos, metodinis ir pavaduotojo ugdymui kabinetai (2</w:t>
      </w:r>
      <w:r w:rsidR="00345E1A">
        <w:t xml:space="preserve"> </w:t>
      </w:r>
      <w:r w:rsidRPr="007C5CB9">
        <w:t xml:space="preserve">025 Eur). Įsigyti </w:t>
      </w:r>
      <w:r w:rsidRPr="007C5CB9">
        <w:rPr>
          <w:rFonts w:eastAsia="Calibri"/>
        </w:rPr>
        <w:t>22 vnt. pirmosios pagalbos rinkiniai (839 Eur).</w:t>
      </w:r>
    </w:p>
    <w:p w:rsidR="007C5CB9" w:rsidRPr="007C5CB9" w:rsidRDefault="007C5CB9" w:rsidP="007C5CB9">
      <w:pPr>
        <w:ind w:firstLine="567"/>
        <w:contextualSpacing/>
        <w:jc w:val="both"/>
      </w:pPr>
      <w:r w:rsidRPr="007C5CB9">
        <w:t>Įgyvendinant antrąjį uždavinį – pritaikyti Įstaigos aplinkas švietimo reikmėms – įsteigta 1 ikimokyklinio ugdymo grupė (atstačius vandentiekio ir nuotekų sistemas, suremontavus grupės prausyklą ir tualetą); įsigyti vaikams staliukai ir kėdutės (3</w:t>
      </w:r>
      <w:r w:rsidR="00345E1A">
        <w:t xml:space="preserve"> </w:t>
      </w:r>
      <w:r w:rsidRPr="007C5CB9">
        <w:t>384 Eur), lovytės (4</w:t>
      </w:r>
      <w:r w:rsidR="00345E1A">
        <w:t xml:space="preserve"> </w:t>
      </w:r>
      <w:r w:rsidRPr="007C5CB9">
        <w:t>100 Eur). Sukurtos edukacinės erdvės ir įsigyta priemonių sveikos gyvensenos, tyrinėjimų, eksperimentų bei inžinerijos programoms vykdyti (1</w:t>
      </w:r>
      <w:r w:rsidR="00345E1A">
        <w:t xml:space="preserve"> </w:t>
      </w:r>
      <w:r w:rsidRPr="007C5CB9">
        <w:t>300 Eur). Siekiant ugdymo procese naudoti skaitmeninį ugdymo turinį, įsigyta: 4 interaktyvūs ekranai (6</w:t>
      </w:r>
      <w:r w:rsidR="00345E1A">
        <w:t xml:space="preserve"> </w:t>
      </w:r>
      <w:r w:rsidRPr="007C5CB9">
        <w:t>500 Eur), 5 kompiuteriai (4</w:t>
      </w:r>
      <w:r w:rsidR="00DB17AE">
        <w:t xml:space="preserve"> </w:t>
      </w:r>
      <w:r w:rsidRPr="007C5CB9">
        <w:t>000 Eur), 2 interaktyvios grindys (4</w:t>
      </w:r>
      <w:r w:rsidR="00DB17AE">
        <w:t xml:space="preserve"> </w:t>
      </w:r>
      <w:r w:rsidRPr="007C5CB9">
        <w:t>200 Eur), 1 interaktyvi smėlio dėžė (6</w:t>
      </w:r>
      <w:r w:rsidR="00DB17AE">
        <w:t xml:space="preserve"> </w:t>
      </w:r>
      <w:r w:rsidRPr="007C5CB9">
        <w:t>500 Eur), 1 spausdintuvas (499 Eur ). Atlikti kompiuterinio tinklo išplėtimo darbai (500 Eur).</w:t>
      </w:r>
    </w:p>
    <w:p w:rsidR="00352877" w:rsidRDefault="00352877" w:rsidP="007C5CB9">
      <w:pPr>
        <w:ind w:firstLine="567"/>
        <w:jc w:val="both"/>
      </w:pPr>
    </w:p>
    <w:p w:rsidR="007C5CB9" w:rsidRPr="007C5CB9" w:rsidRDefault="007C5CB9" w:rsidP="007C5CB9">
      <w:pPr>
        <w:ind w:firstLine="567"/>
        <w:jc w:val="both"/>
      </w:pPr>
      <w:r w:rsidRPr="007C5CB9">
        <w:lastRenderedPageBreak/>
        <w:t xml:space="preserve">2022 m. </w:t>
      </w:r>
      <w:r w:rsidR="00B52055">
        <w:t>Į</w:t>
      </w:r>
      <w:r w:rsidRPr="007C5CB9">
        <w:t>staigos finansinė situacija:</w:t>
      </w:r>
    </w:p>
    <w:tbl>
      <w:tblPr>
        <w:tblStyle w:val="Lentelstinklelis1"/>
        <w:tblW w:w="9639" w:type="dxa"/>
        <w:tblInd w:w="108" w:type="dxa"/>
        <w:tblLook w:val="04A0" w:firstRow="1" w:lastRow="0" w:firstColumn="1" w:lastColumn="0" w:noHBand="0" w:noVBand="1"/>
      </w:tblPr>
      <w:tblGrid>
        <w:gridCol w:w="2976"/>
        <w:gridCol w:w="1473"/>
        <w:gridCol w:w="11"/>
        <w:gridCol w:w="1351"/>
        <w:gridCol w:w="1419"/>
        <w:gridCol w:w="2409"/>
      </w:tblGrid>
      <w:tr w:rsidR="007C5CB9" w:rsidRPr="007C5CB9" w:rsidTr="00852D98">
        <w:trPr>
          <w:trHeight w:val="290"/>
          <w:tblHeader/>
        </w:trPr>
        <w:tc>
          <w:tcPr>
            <w:tcW w:w="2976" w:type="dxa"/>
            <w:vMerge w:val="restart"/>
            <w:tcBorders>
              <w:top w:val="single" w:sz="4" w:space="0" w:color="auto"/>
              <w:left w:val="single" w:sz="4" w:space="0" w:color="auto"/>
              <w:bottom w:val="single" w:sz="4" w:space="0" w:color="auto"/>
              <w:right w:val="single" w:sz="4" w:space="0" w:color="auto"/>
            </w:tcBorders>
            <w:hideMark/>
          </w:tcPr>
          <w:p w:rsidR="007C5CB9" w:rsidRPr="007C5CB9" w:rsidRDefault="007C5CB9" w:rsidP="007C5CB9">
            <w:pPr>
              <w:ind w:firstLine="567"/>
              <w:jc w:val="center"/>
            </w:pPr>
            <w:r w:rsidRPr="007C5CB9">
              <w:t>Finansavimo šaltinis</w:t>
            </w:r>
          </w:p>
        </w:tc>
        <w:tc>
          <w:tcPr>
            <w:tcW w:w="4254" w:type="dxa"/>
            <w:gridSpan w:val="4"/>
            <w:tcBorders>
              <w:top w:val="single" w:sz="4" w:space="0" w:color="auto"/>
              <w:left w:val="single" w:sz="4" w:space="0" w:color="auto"/>
              <w:bottom w:val="single" w:sz="4" w:space="0" w:color="auto"/>
              <w:right w:val="single" w:sz="4" w:space="0" w:color="auto"/>
            </w:tcBorders>
            <w:hideMark/>
          </w:tcPr>
          <w:p w:rsidR="007C5CB9" w:rsidRPr="007C5CB9" w:rsidRDefault="007C5CB9" w:rsidP="007C5CB9">
            <w:pPr>
              <w:ind w:firstLine="567"/>
              <w:jc w:val="center"/>
            </w:pPr>
            <w:r w:rsidRPr="007C5CB9">
              <w:t>Lėšos (tūkst. Eur)</w:t>
            </w:r>
          </w:p>
        </w:tc>
        <w:tc>
          <w:tcPr>
            <w:tcW w:w="2409" w:type="dxa"/>
            <w:tcBorders>
              <w:top w:val="single" w:sz="4" w:space="0" w:color="auto"/>
              <w:left w:val="single" w:sz="4" w:space="0" w:color="auto"/>
              <w:right w:val="single" w:sz="4" w:space="0" w:color="auto"/>
            </w:tcBorders>
          </w:tcPr>
          <w:p w:rsidR="007C5CB9" w:rsidRPr="007C5CB9" w:rsidRDefault="007C5CB9" w:rsidP="007C5CB9">
            <w:pPr>
              <w:ind w:firstLine="567"/>
              <w:jc w:val="center"/>
            </w:pPr>
            <w:r w:rsidRPr="007C5CB9">
              <w:t>Pastabos</w:t>
            </w:r>
          </w:p>
        </w:tc>
      </w:tr>
      <w:tr w:rsidR="007C5CB9" w:rsidRPr="007C5CB9" w:rsidTr="00852D98">
        <w:trPr>
          <w:tblHeader/>
        </w:trPr>
        <w:tc>
          <w:tcPr>
            <w:tcW w:w="2976" w:type="dxa"/>
            <w:vMerge/>
            <w:tcBorders>
              <w:top w:val="single" w:sz="4" w:space="0" w:color="auto"/>
              <w:left w:val="single" w:sz="4" w:space="0" w:color="auto"/>
              <w:bottom w:val="single" w:sz="4" w:space="0" w:color="auto"/>
              <w:right w:val="single" w:sz="4" w:space="0" w:color="auto"/>
            </w:tcBorders>
            <w:vAlign w:val="center"/>
            <w:hideMark/>
          </w:tcPr>
          <w:p w:rsidR="007C5CB9" w:rsidRPr="007C5CB9" w:rsidRDefault="007C5CB9" w:rsidP="007C5CB9">
            <w:pPr>
              <w:ind w:firstLine="567"/>
            </w:pPr>
          </w:p>
        </w:tc>
        <w:tc>
          <w:tcPr>
            <w:tcW w:w="1473" w:type="dxa"/>
            <w:tcBorders>
              <w:top w:val="single" w:sz="4" w:space="0" w:color="auto"/>
              <w:left w:val="single" w:sz="4" w:space="0" w:color="auto"/>
              <w:bottom w:val="single" w:sz="4" w:space="0" w:color="auto"/>
              <w:right w:val="single" w:sz="4" w:space="0" w:color="auto"/>
            </w:tcBorders>
            <w:hideMark/>
          </w:tcPr>
          <w:p w:rsidR="007C5CB9" w:rsidRPr="007C5CB9" w:rsidRDefault="007C5CB9" w:rsidP="00852D98">
            <w:pPr>
              <w:jc w:val="center"/>
            </w:pPr>
            <w:r w:rsidRPr="007C5CB9">
              <w:t>Planas (patikslintas)</w:t>
            </w:r>
          </w:p>
        </w:tc>
        <w:tc>
          <w:tcPr>
            <w:tcW w:w="1362" w:type="dxa"/>
            <w:gridSpan w:val="2"/>
            <w:tcBorders>
              <w:top w:val="single" w:sz="4" w:space="0" w:color="auto"/>
              <w:left w:val="single" w:sz="4" w:space="0" w:color="auto"/>
              <w:bottom w:val="single" w:sz="4" w:space="0" w:color="auto"/>
              <w:right w:val="single" w:sz="4" w:space="0" w:color="auto"/>
            </w:tcBorders>
            <w:hideMark/>
          </w:tcPr>
          <w:p w:rsidR="007C5CB9" w:rsidRPr="007C5CB9" w:rsidRDefault="007C5CB9" w:rsidP="00852D98">
            <w:pPr>
              <w:jc w:val="center"/>
            </w:pPr>
            <w:r w:rsidRPr="007C5CB9">
              <w:t>Panaudota lėšų</w:t>
            </w:r>
          </w:p>
        </w:tc>
        <w:tc>
          <w:tcPr>
            <w:tcW w:w="1419" w:type="dxa"/>
            <w:tcBorders>
              <w:top w:val="single" w:sz="4" w:space="0" w:color="auto"/>
              <w:left w:val="single" w:sz="4" w:space="0" w:color="auto"/>
              <w:bottom w:val="single" w:sz="4" w:space="0" w:color="auto"/>
              <w:right w:val="single" w:sz="4" w:space="0" w:color="auto"/>
            </w:tcBorders>
            <w:hideMark/>
          </w:tcPr>
          <w:p w:rsidR="007C5CB9" w:rsidRPr="007C5CB9" w:rsidRDefault="007C5CB9" w:rsidP="00852D98">
            <w:pPr>
              <w:jc w:val="center"/>
            </w:pPr>
            <w:r w:rsidRPr="007C5CB9">
              <w:t>Įvykdymas (%)</w:t>
            </w:r>
          </w:p>
        </w:tc>
        <w:tc>
          <w:tcPr>
            <w:tcW w:w="2409" w:type="dxa"/>
            <w:tcBorders>
              <w:left w:val="single" w:sz="4" w:space="0" w:color="auto"/>
              <w:bottom w:val="single" w:sz="4" w:space="0" w:color="auto"/>
              <w:right w:val="single" w:sz="4" w:space="0" w:color="auto"/>
            </w:tcBorders>
          </w:tcPr>
          <w:p w:rsidR="007C5CB9" w:rsidRPr="007C5CB9" w:rsidRDefault="007C5CB9" w:rsidP="007C5CB9">
            <w:pPr>
              <w:ind w:firstLine="567"/>
            </w:pPr>
          </w:p>
        </w:tc>
      </w:tr>
      <w:tr w:rsidR="007C5CB9" w:rsidRPr="007C5CB9" w:rsidTr="00852D98">
        <w:trPr>
          <w:trHeight w:val="415"/>
        </w:trPr>
        <w:tc>
          <w:tcPr>
            <w:tcW w:w="2976" w:type="dxa"/>
            <w:tcBorders>
              <w:top w:val="single" w:sz="4" w:space="0" w:color="auto"/>
              <w:left w:val="single" w:sz="4" w:space="0" w:color="auto"/>
              <w:bottom w:val="single" w:sz="4" w:space="0" w:color="auto"/>
              <w:right w:val="single" w:sz="4" w:space="0" w:color="auto"/>
            </w:tcBorders>
            <w:hideMark/>
          </w:tcPr>
          <w:p w:rsidR="007C5CB9" w:rsidRPr="007C5CB9" w:rsidRDefault="007C5CB9" w:rsidP="00852D98">
            <w:pPr>
              <w:rPr>
                <w:szCs w:val="20"/>
              </w:rPr>
            </w:pPr>
            <w:r w:rsidRPr="007C5CB9">
              <w:rPr>
                <w:szCs w:val="20"/>
              </w:rPr>
              <w:t>Savivaldybės biudžetas (SB)</w:t>
            </w:r>
          </w:p>
        </w:tc>
        <w:tc>
          <w:tcPr>
            <w:tcW w:w="1473"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center"/>
              <w:rPr>
                <w:szCs w:val="20"/>
              </w:rPr>
            </w:pPr>
            <w:r w:rsidRPr="007C5CB9">
              <w:rPr>
                <w:szCs w:val="20"/>
              </w:rPr>
              <w:t>967,4</w:t>
            </w:r>
          </w:p>
        </w:tc>
        <w:tc>
          <w:tcPr>
            <w:tcW w:w="1362" w:type="dxa"/>
            <w:gridSpan w:val="2"/>
            <w:tcBorders>
              <w:top w:val="single" w:sz="4" w:space="0" w:color="auto"/>
              <w:left w:val="single" w:sz="4" w:space="0" w:color="auto"/>
              <w:bottom w:val="single" w:sz="4" w:space="0" w:color="auto"/>
              <w:right w:val="single" w:sz="4" w:space="0" w:color="auto"/>
            </w:tcBorders>
          </w:tcPr>
          <w:p w:rsidR="007C5CB9" w:rsidRPr="007C5CB9" w:rsidRDefault="007C5CB9" w:rsidP="00852D98">
            <w:pPr>
              <w:ind w:firstLine="118"/>
              <w:jc w:val="center"/>
              <w:rPr>
                <w:szCs w:val="20"/>
              </w:rPr>
            </w:pPr>
            <w:r w:rsidRPr="007C5CB9">
              <w:rPr>
                <w:szCs w:val="20"/>
              </w:rPr>
              <w:t>949,0</w:t>
            </w:r>
          </w:p>
        </w:tc>
        <w:tc>
          <w:tcPr>
            <w:tcW w:w="1419"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center"/>
              <w:rPr>
                <w:szCs w:val="20"/>
              </w:rPr>
            </w:pPr>
            <w:r w:rsidRPr="007C5CB9">
              <w:rPr>
                <w:szCs w:val="20"/>
              </w:rPr>
              <w:t>98,1</w:t>
            </w:r>
          </w:p>
        </w:tc>
        <w:tc>
          <w:tcPr>
            <w:tcW w:w="2409"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both"/>
              <w:rPr>
                <w:sz w:val="18"/>
                <w:szCs w:val="18"/>
              </w:rPr>
            </w:pPr>
          </w:p>
        </w:tc>
      </w:tr>
      <w:tr w:rsidR="007C5CB9" w:rsidRPr="007C5CB9" w:rsidTr="00852D98">
        <w:tc>
          <w:tcPr>
            <w:tcW w:w="2976" w:type="dxa"/>
            <w:tcBorders>
              <w:top w:val="single" w:sz="4" w:space="0" w:color="auto"/>
              <w:left w:val="single" w:sz="4" w:space="0" w:color="auto"/>
              <w:bottom w:val="single" w:sz="4" w:space="0" w:color="auto"/>
              <w:right w:val="single" w:sz="4" w:space="0" w:color="auto"/>
            </w:tcBorders>
            <w:hideMark/>
          </w:tcPr>
          <w:p w:rsidR="007C5CB9" w:rsidRPr="007C5CB9" w:rsidRDefault="007C5CB9" w:rsidP="00852D98">
            <w:pPr>
              <w:rPr>
                <w:szCs w:val="20"/>
              </w:rPr>
            </w:pPr>
            <w:r w:rsidRPr="007C5CB9">
              <w:rPr>
                <w:szCs w:val="20"/>
              </w:rPr>
              <w:t>Specialioji tikslinė dotacija (VB)</w:t>
            </w:r>
          </w:p>
        </w:tc>
        <w:tc>
          <w:tcPr>
            <w:tcW w:w="1473"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center"/>
              <w:rPr>
                <w:szCs w:val="20"/>
              </w:rPr>
            </w:pPr>
            <w:r w:rsidRPr="007C5CB9">
              <w:rPr>
                <w:szCs w:val="20"/>
              </w:rPr>
              <w:t>662,1</w:t>
            </w:r>
          </w:p>
        </w:tc>
        <w:tc>
          <w:tcPr>
            <w:tcW w:w="1362" w:type="dxa"/>
            <w:gridSpan w:val="2"/>
            <w:tcBorders>
              <w:top w:val="single" w:sz="4" w:space="0" w:color="auto"/>
              <w:left w:val="single" w:sz="4" w:space="0" w:color="auto"/>
              <w:bottom w:val="single" w:sz="4" w:space="0" w:color="auto"/>
              <w:right w:val="single" w:sz="4" w:space="0" w:color="auto"/>
            </w:tcBorders>
          </w:tcPr>
          <w:p w:rsidR="007C5CB9" w:rsidRPr="007C5CB9" w:rsidRDefault="007C5CB9" w:rsidP="00852D98">
            <w:pPr>
              <w:ind w:firstLine="118"/>
              <w:jc w:val="center"/>
              <w:rPr>
                <w:szCs w:val="20"/>
              </w:rPr>
            </w:pPr>
            <w:r w:rsidRPr="007C5CB9">
              <w:rPr>
                <w:szCs w:val="20"/>
              </w:rPr>
              <w:t>662,1</w:t>
            </w:r>
          </w:p>
        </w:tc>
        <w:tc>
          <w:tcPr>
            <w:tcW w:w="1419"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center"/>
              <w:rPr>
                <w:szCs w:val="20"/>
              </w:rPr>
            </w:pPr>
            <w:r w:rsidRPr="007C5CB9">
              <w:rPr>
                <w:szCs w:val="20"/>
              </w:rPr>
              <w:t>100,0</w:t>
            </w:r>
          </w:p>
        </w:tc>
        <w:tc>
          <w:tcPr>
            <w:tcW w:w="2409"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both"/>
              <w:rPr>
                <w:szCs w:val="20"/>
              </w:rPr>
            </w:pPr>
          </w:p>
        </w:tc>
      </w:tr>
      <w:tr w:rsidR="007C5CB9" w:rsidRPr="007C5CB9" w:rsidTr="00852D98">
        <w:tc>
          <w:tcPr>
            <w:tcW w:w="2976" w:type="dxa"/>
            <w:tcBorders>
              <w:top w:val="single" w:sz="4" w:space="0" w:color="auto"/>
              <w:left w:val="single" w:sz="4" w:space="0" w:color="auto"/>
              <w:bottom w:val="single" w:sz="4" w:space="0" w:color="auto"/>
              <w:right w:val="single" w:sz="4" w:space="0" w:color="auto"/>
            </w:tcBorders>
            <w:hideMark/>
          </w:tcPr>
          <w:p w:rsidR="007C5CB9" w:rsidRPr="007C5CB9" w:rsidRDefault="007C5CB9" w:rsidP="00852D98">
            <w:pPr>
              <w:rPr>
                <w:szCs w:val="20"/>
              </w:rPr>
            </w:pPr>
            <w:r w:rsidRPr="007C5CB9">
              <w:rPr>
                <w:szCs w:val="20"/>
              </w:rPr>
              <w:t>Įstaigos gautos pajamos (surinkta pajamų SP, likučio, patalpų nuomos)</w:t>
            </w:r>
          </w:p>
        </w:tc>
        <w:tc>
          <w:tcPr>
            <w:tcW w:w="1473"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center"/>
              <w:rPr>
                <w:szCs w:val="20"/>
              </w:rPr>
            </w:pPr>
            <w:r w:rsidRPr="007C5CB9">
              <w:rPr>
                <w:szCs w:val="20"/>
              </w:rPr>
              <w:t>153,9</w:t>
            </w:r>
          </w:p>
        </w:tc>
        <w:tc>
          <w:tcPr>
            <w:tcW w:w="1362" w:type="dxa"/>
            <w:gridSpan w:val="2"/>
            <w:tcBorders>
              <w:top w:val="single" w:sz="4" w:space="0" w:color="auto"/>
              <w:left w:val="single" w:sz="4" w:space="0" w:color="auto"/>
              <w:bottom w:val="single" w:sz="4" w:space="0" w:color="auto"/>
              <w:right w:val="single" w:sz="4" w:space="0" w:color="auto"/>
            </w:tcBorders>
          </w:tcPr>
          <w:p w:rsidR="007C5CB9" w:rsidRPr="007C5CB9" w:rsidRDefault="007C5CB9" w:rsidP="00852D98">
            <w:pPr>
              <w:ind w:firstLine="118"/>
              <w:jc w:val="center"/>
              <w:rPr>
                <w:szCs w:val="20"/>
              </w:rPr>
            </w:pPr>
            <w:r w:rsidRPr="007C5CB9">
              <w:rPr>
                <w:szCs w:val="20"/>
              </w:rPr>
              <w:t>118,9</w:t>
            </w:r>
          </w:p>
        </w:tc>
        <w:tc>
          <w:tcPr>
            <w:tcW w:w="1419"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center"/>
              <w:rPr>
                <w:szCs w:val="20"/>
              </w:rPr>
            </w:pPr>
            <w:r w:rsidRPr="007C5CB9">
              <w:rPr>
                <w:szCs w:val="20"/>
              </w:rPr>
              <w:t>77,3</w:t>
            </w:r>
          </w:p>
        </w:tc>
        <w:tc>
          <w:tcPr>
            <w:tcW w:w="2409" w:type="dxa"/>
            <w:tcBorders>
              <w:top w:val="single" w:sz="4" w:space="0" w:color="auto"/>
              <w:left w:val="single" w:sz="4" w:space="0" w:color="auto"/>
              <w:bottom w:val="single" w:sz="4" w:space="0" w:color="auto"/>
              <w:right w:val="single" w:sz="4" w:space="0" w:color="auto"/>
            </w:tcBorders>
          </w:tcPr>
          <w:p w:rsidR="007C5CB9" w:rsidRPr="007C5CB9" w:rsidRDefault="00C50DC0" w:rsidP="00C50DC0">
            <w:pPr>
              <w:jc w:val="both"/>
            </w:pPr>
            <w:r w:rsidRPr="00F66507">
              <w:t>Dėl mažesnio vaikų lankomumo bei sergamumo surinkta ir išleista mažiau pajamų</w:t>
            </w:r>
          </w:p>
        </w:tc>
      </w:tr>
      <w:tr w:rsidR="007C5CB9" w:rsidRPr="007C5CB9" w:rsidTr="00852D98">
        <w:tc>
          <w:tcPr>
            <w:tcW w:w="2976" w:type="dxa"/>
            <w:tcBorders>
              <w:top w:val="single" w:sz="4" w:space="0" w:color="auto"/>
              <w:left w:val="single" w:sz="4" w:space="0" w:color="auto"/>
              <w:bottom w:val="single" w:sz="4" w:space="0" w:color="auto"/>
              <w:right w:val="single" w:sz="4" w:space="0" w:color="auto"/>
            </w:tcBorders>
            <w:hideMark/>
          </w:tcPr>
          <w:p w:rsidR="007C5CB9" w:rsidRPr="007C5CB9" w:rsidRDefault="007C5CB9" w:rsidP="00852D98">
            <w:pPr>
              <w:rPr>
                <w:szCs w:val="20"/>
              </w:rPr>
            </w:pPr>
            <w:r w:rsidRPr="007C5CB9">
              <w:rPr>
                <w:szCs w:val="20"/>
              </w:rPr>
              <w:t>Kitos lėšos (parama 1,2 % GPM ir kt.)</w:t>
            </w:r>
          </w:p>
        </w:tc>
        <w:tc>
          <w:tcPr>
            <w:tcW w:w="1473"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center"/>
              <w:rPr>
                <w:szCs w:val="20"/>
              </w:rPr>
            </w:pPr>
            <w:r w:rsidRPr="007C5CB9">
              <w:rPr>
                <w:szCs w:val="20"/>
              </w:rPr>
              <w:t>3,8</w:t>
            </w:r>
          </w:p>
        </w:tc>
        <w:tc>
          <w:tcPr>
            <w:tcW w:w="1362" w:type="dxa"/>
            <w:gridSpan w:val="2"/>
            <w:tcBorders>
              <w:top w:val="single" w:sz="4" w:space="0" w:color="auto"/>
              <w:left w:val="single" w:sz="4" w:space="0" w:color="auto"/>
              <w:bottom w:val="single" w:sz="4" w:space="0" w:color="auto"/>
              <w:right w:val="single" w:sz="4" w:space="0" w:color="auto"/>
            </w:tcBorders>
          </w:tcPr>
          <w:p w:rsidR="007C5CB9" w:rsidRPr="007C5CB9" w:rsidRDefault="007C5CB9" w:rsidP="00852D98">
            <w:pPr>
              <w:ind w:firstLine="118"/>
              <w:jc w:val="center"/>
              <w:rPr>
                <w:szCs w:val="20"/>
              </w:rPr>
            </w:pPr>
            <w:r w:rsidRPr="007C5CB9">
              <w:rPr>
                <w:szCs w:val="20"/>
              </w:rPr>
              <w:t>2,3</w:t>
            </w:r>
          </w:p>
        </w:tc>
        <w:tc>
          <w:tcPr>
            <w:tcW w:w="1419" w:type="dxa"/>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center"/>
              <w:rPr>
                <w:szCs w:val="20"/>
              </w:rPr>
            </w:pPr>
            <w:r w:rsidRPr="007C5CB9">
              <w:rPr>
                <w:szCs w:val="20"/>
              </w:rPr>
              <w:t>60,5</w:t>
            </w:r>
          </w:p>
        </w:tc>
        <w:tc>
          <w:tcPr>
            <w:tcW w:w="2409" w:type="dxa"/>
            <w:tcBorders>
              <w:top w:val="single" w:sz="4" w:space="0" w:color="auto"/>
              <w:left w:val="single" w:sz="4" w:space="0" w:color="auto"/>
              <w:bottom w:val="single" w:sz="4" w:space="0" w:color="auto"/>
              <w:right w:val="single" w:sz="4" w:space="0" w:color="auto"/>
            </w:tcBorders>
          </w:tcPr>
          <w:p w:rsidR="007C5CB9" w:rsidRPr="007C5CB9" w:rsidRDefault="00C50DC0" w:rsidP="00C50DC0">
            <w:pPr>
              <w:ind w:firstLine="32"/>
              <w:rPr>
                <w:szCs w:val="20"/>
              </w:rPr>
            </w:pPr>
            <w:r>
              <w:t>Paramos lėšos naudojamos taupiai ir tikslingai, paliekamas minimalus rezervas ateičiai</w:t>
            </w:r>
            <w:r w:rsidR="007C5CB9" w:rsidRPr="007C5CB9">
              <w:rPr>
                <w:szCs w:val="20"/>
              </w:rPr>
              <w:t xml:space="preserve"> </w:t>
            </w:r>
          </w:p>
        </w:tc>
      </w:tr>
      <w:tr w:rsidR="00DB17AE" w:rsidRPr="00DB17AE" w:rsidTr="00852D98">
        <w:trPr>
          <w:trHeight w:val="152"/>
        </w:trPr>
        <w:tc>
          <w:tcPr>
            <w:tcW w:w="2976" w:type="dxa"/>
            <w:tcBorders>
              <w:top w:val="single" w:sz="4" w:space="0" w:color="auto"/>
              <w:left w:val="single" w:sz="4" w:space="0" w:color="auto"/>
              <w:bottom w:val="single" w:sz="4" w:space="0" w:color="auto"/>
              <w:right w:val="single" w:sz="4" w:space="0" w:color="auto"/>
            </w:tcBorders>
            <w:hideMark/>
          </w:tcPr>
          <w:p w:rsidR="007C5CB9" w:rsidRPr="00DB17AE" w:rsidRDefault="007C5CB9" w:rsidP="00852D98">
            <w:pPr>
              <w:rPr>
                <w:szCs w:val="20"/>
              </w:rPr>
            </w:pPr>
            <w:r w:rsidRPr="00DB17AE">
              <w:rPr>
                <w:szCs w:val="20"/>
              </w:rPr>
              <w:t>Iš viso</w:t>
            </w:r>
          </w:p>
        </w:tc>
        <w:tc>
          <w:tcPr>
            <w:tcW w:w="1473" w:type="dxa"/>
            <w:tcBorders>
              <w:top w:val="single" w:sz="4" w:space="0" w:color="auto"/>
              <w:left w:val="single" w:sz="4" w:space="0" w:color="auto"/>
              <w:bottom w:val="single" w:sz="4" w:space="0" w:color="auto"/>
              <w:right w:val="single" w:sz="4" w:space="0" w:color="auto"/>
            </w:tcBorders>
          </w:tcPr>
          <w:p w:rsidR="007C5CB9" w:rsidRPr="00DB17AE" w:rsidRDefault="007C5CB9" w:rsidP="007C5CB9">
            <w:pPr>
              <w:ind w:firstLine="567"/>
              <w:jc w:val="center"/>
              <w:rPr>
                <w:szCs w:val="20"/>
              </w:rPr>
            </w:pPr>
            <w:r w:rsidRPr="00DB17AE">
              <w:rPr>
                <w:szCs w:val="20"/>
              </w:rPr>
              <w:t>1787,2</w:t>
            </w:r>
          </w:p>
        </w:tc>
        <w:tc>
          <w:tcPr>
            <w:tcW w:w="1362" w:type="dxa"/>
            <w:gridSpan w:val="2"/>
            <w:tcBorders>
              <w:top w:val="single" w:sz="4" w:space="0" w:color="auto"/>
              <w:left w:val="single" w:sz="4" w:space="0" w:color="auto"/>
              <w:bottom w:val="single" w:sz="4" w:space="0" w:color="auto"/>
              <w:right w:val="single" w:sz="4" w:space="0" w:color="auto"/>
            </w:tcBorders>
          </w:tcPr>
          <w:p w:rsidR="007C5CB9" w:rsidRPr="00DB17AE" w:rsidRDefault="007C5CB9" w:rsidP="00852D98">
            <w:pPr>
              <w:ind w:firstLine="118"/>
              <w:jc w:val="center"/>
              <w:rPr>
                <w:szCs w:val="20"/>
              </w:rPr>
            </w:pPr>
            <w:r w:rsidRPr="00DB17AE">
              <w:rPr>
                <w:szCs w:val="20"/>
              </w:rPr>
              <w:t>1732,3</w:t>
            </w:r>
          </w:p>
        </w:tc>
        <w:tc>
          <w:tcPr>
            <w:tcW w:w="1419" w:type="dxa"/>
            <w:tcBorders>
              <w:top w:val="single" w:sz="4" w:space="0" w:color="auto"/>
              <w:left w:val="single" w:sz="4" w:space="0" w:color="auto"/>
              <w:bottom w:val="single" w:sz="4" w:space="0" w:color="auto"/>
              <w:right w:val="single" w:sz="4" w:space="0" w:color="auto"/>
            </w:tcBorders>
          </w:tcPr>
          <w:p w:rsidR="007C5CB9" w:rsidRPr="00DB17AE" w:rsidRDefault="007C5CB9" w:rsidP="007C5CB9">
            <w:pPr>
              <w:ind w:firstLine="567"/>
              <w:jc w:val="center"/>
              <w:rPr>
                <w:szCs w:val="20"/>
              </w:rPr>
            </w:pPr>
            <w:r w:rsidRPr="00DB17AE">
              <w:rPr>
                <w:szCs w:val="20"/>
              </w:rPr>
              <w:t>96,9</w:t>
            </w:r>
          </w:p>
        </w:tc>
        <w:tc>
          <w:tcPr>
            <w:tcW w:w="2409" w:type="dxa"/>
            <w:tcBorders>
              <w:top w:val="single" w:sz="4" w:space="0" w:color="auto"/>
              <w:left w:val="single" w:sz="4" w:space="0" w:color="auto"/>
              <w:bottom w:val="single" w:sz="4" w:space="0" w:color="auto"/>
              <w:right w:val="single" w:sz="4" w:space="0" w:color="auto"/>
            </w:tcBorders>
          </w:tcPr>
          <w:p w:rsidR="007C5CB9" w:rsidRPr="00DB17AE" w:rsidRDefault="007C5CB9" w:rsidP="007C5CB9">
            <w:pPr>
              <w:ind w:firstLine="567"/>
              <w:rPr>
                <w:szCs w:val="20"/>
              </w:rPr>
            </w:pPr>
          </w:p>
        </w:tc>
      </w:tr>
      <w:tr w:rsidR="007C5CB9" w:rsidRPr="007C5CB9" w:rsidTr="00852D98">
        <w:tc>
          <w:tcPr>
            <w:tcW w:w="4460" w:type="dxa"/>
            <w:gridSpan w:val="3"/>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both"/>
            </w:pPr>
            <w:r w:rsidRPr="007C5CB9">
              <w:t>Kreditinis įsiskolinimas (pagal visus finansavimo šaltinius) 2023 m. sausio 1 d. – 55,11 eurai</w:t>
            </w:r>
          </w:p>
        </w:tc>
        <w:tc>
          <w:tcPr>
            <w:tcW w:w="5179" w:type="dxa"/>
            <w:gridSpan w:val="3"/>
            <w:tcBorders>
              <w:top w:val="single" w:sz="4" w:space="0" w:color="auto"/>
              <w:left w:val="single" w:sz="4" w:space="0" w:color="auto"/>
              <w:bottom w:val="single" w:sz="4" w:space="0" w:color="auto"/>
              <w:right w:val="single" w:sz="4" w:space="0" w:color="auto"/>
            </w:tcBorders>
          </w:tcPr>
          <w:p w:rsidR="007C5CB9" w:rsidRPr="007C5CB9" w:rsidRDefault="007C5CB9" w:rsidP="007C5CB9">
            <w:pPr>
              <w:ind w:firstLine="567"/>
              <w:jc w:val="both"/>
            </w:pPr>
            <w:r w:rsidRPr="007C5CB9">
              <w:t>Paslaugų tiekėj</w:t>
            </w:r>
            <w:r w:rsidR="00DB17AE">
              <w:t>o</w:t>
            </w:r>
            <w:r w:rsidRPr="007C5CB9">
              <w:t xml:space="preserve"> UAB „Telia“</w:t>
            </w:r>
            <w:r w:rsidR="00DB17AE" w:rsidRPr="007C5CB9">
              <w:t xml:space="preserve"> </w:t>
            </w:r>
            <w:r w:rsidR="00DB17AE">
              <w:t>s</w:t>
            </w:r>
            <w:r w:rsidRPr="007C5CB9">
              <w:t>ąskait</w:t>
            </w:r>
            <w:r w:rsidR="00DB17AE">
              <w:t>a</w:t>
            </w:r>
            <w:r w:rsidRPr="007C5CB9">
              <w:t xml:space="preserve"> už gruodžio mėnesį išrašyta 2023 m. sausio mėn.</w:t>
            </w:r>
          </w:p>
        </w:tc>
      </w:tr>
    </w:tbl>
    <w:p w:rsidR="007C5CB9" w:rsidRPr="00DB17AE" w:rsidRDefault="007C5CB9" w:rsidP="007C5CB9">
      <w:pPr>
        <w:ind w:right="-22" w:firstLine="567"/>
        <w:jc w:val="both"/>
        <w:rPr>
          <w:szCs w:val="20"/>
        </w:rPr>
      </w:pPr>
      <w:r w:rsidRPr="00DB17AE">
        <w:rPr>
          <w:szCs w:val="20"/>
        </w:rPr>
        <w:t xml:space="preserve">2022 m. </w:t>
      </w:r>
      <w:r w:rsidR="00B52055" w:rsidRPr="00DB17AE">
        <w:rPr>
          <w:szCs w:val="20"/>
        </w:rPr>
        <w:t>Į</w:t>
      </w:r>
      <w:r w:rsidRPr="00DB17AE">
        <w:rPr>
          <w:szCs w:val="20"/>
        </w:rPr>
        <w:t>staigoje atlikti 7 patikrinimai:</w:t>
      </w:r>
    </w:p>
    <w:p w:rsidR="007C5CB9" w:rsidRPr="00DB17AE" w:rsidRDefault="007C5CB9" w:rsidP="007C5CB9">
      <w:pPr>
        <w:ind w:right="-22" w:firstLine="567"/>
        <w:jc w:val="both"/>
        <w:rPr>
          <w:szCs w:val="20"/>
        </w:rPr>
      </w:pPr>
      <w:r w:rsidRPr="00DB17AE">
        <w:rPr>
          <w:szCs w:val="20"/>
        </w:rPr>
        <w:t xml:space="preserve">Klaipėdos miesto </w:t>
      </w:r>
      <w:r w:rsidR="00DB17AE">
        <w:rPr>
          <w:szCs w:val="20"/>
        </w:rPr>
        <w:t>s</w:t>
      </w:r>
      <w:r w:rsidRPr="00DB17AE">
        <w:rPr>
          <w:szCs w:val="20"/>
        </w:rPr>
        <w:t>avivaldybės administracijos Centralizuoto vidaus audito skyriaus (Nr. CVAS-P-09-03) vykdytas auditas „</w:t>
      </w:r>
      <w:r w:rsidRPr="00DB17AE">
        <w:rPr>
          <w:rFonts w:eastAsia="Calibri"/>
        </w:rPr>
        <w:t xml:space="preserve">Švietimo pagalbos (specialiosios pagalbos) teikimo organizavimo vertinimas“. </w:t>
      </w:r>
      <w:r w:rsidRPr="00DB17AE">
        <w:rPr>
          <w:shd w:val="clear" w:color="auto" w:fill="FFFFFF"/>
        </w:rPr>
        <w:t>Pateiktos rekomendacijos įvykdytos.</w:t>
      </w:r>
    </w:p>
    <w:p w:rsidR="007C5CB9" w:rsidRPr="00DB17AE" w:rsidRDefault="007C5CB9" w:rsidP="007C5CB9">
      <w:pPr>
        <w:ind w:right="-22" w:firstLine="567"/>
        <w:jc w:val="both"/>
        <w:rPr>
          <w:shd w:val="clear" w:color="auto" w:fill="FFFFFF"/>
        </w:rPr>
      </w:pPr>
      <w:r w:rsidRPr="00DB17AE">
        <w:rPr>
          <w:shd w:val="clear" w:color="auto" w:fill="FFFFFF"/>
        </w:rPr>
        <w:t xml:space="preserve">Klaipėdos miesto </w:t>
      </w:r>
      <w:r w:rsidR="00DB17AE">
        <w:rPr>
          <w:shd w:val="clear" w:color="auto" w:fill="FFFFFF"/>
        </w:rPr>
        <w:t>s</w:t>
      </w:r>
      <w:r w:rsidRPr="00DB17AE">
        <w:rPr>
          <w:shd w:val="clear" w:color="auto" w:fill="FFFFFF"/>
        </w:rPr>
        <w:t>avivaldybės Kontrolės ir audito tarnybos (Nr. KAT13-(1.2 E)-9) vykdytas „Vaikų ir mokinių maitinimo organizavimas Klaipėdos miesto savivaldybės švietimo įstaigose“. Pateiktos rekomendacijos įvykdytos.</w:t>
      </w:r>
    </w:p>
    <w:p w:rsidR="007C5CB9" w:rsidRPr="00DB17AE" w:rsidRDefault="007C5CB9" w:rsidP="007C5CB9">
      <w:pPr>
        <w:ind w:right="-22" w:firstLine="567"/>
        <w:jc w:val="both"/>
        <w:rPr>
          <w:szCs w:val="20"/>
        </w:rPr>
      </w:pPr>
      <w:r w:rsidRPr="00DB17AE">
        <w:rPr>
          <w:szCs w:val="20"/>
        </w:rPr>
        <w:t xml:space="preserve">Įstaigos „Šermukšnėlės“ skyriuje atliktas </w:t>
      </w:r>
      <w:r w:rsidR="00EB6882" w:rsidRPr="00DB29AD">
        <w:rPr>
          <w:rFonts w:eastAsiaTheme="minorHAnsi"/>
        </w:rPr>
        <w:t>Nacionalinio visuomenės sveikatos centro prie Sveikatos apsaugos ministerijos Klaipėdos departament</w:t>
      </w:r>
      <w:r w:rsidR="00EB6882">
        <w:rPr>
          <w:rFonts w:eastAsiaTheme="minorHAnsi"/>
        </w:rPr>
        <w:t xml:space="preserve">o </w:t>
      </w:r>
      <w:r w:rsidRPr="00DB17AE">
        <w:rPr>
          <w:szCs w:val="20"/>
        </w:rPr>
        <w:t>patikrinimas (patikrinimo aktas Nr.(3-12 15.3.2 Mr) PA). Nustatyta neatitiktis. Trūkumai pašalinti.</w:t>
      </w:r>
    </w:p>
    <w:p w:rsidR="007C5CB9" w:rsidRPr="007C5CB9" w:rsidRDefault="007C5CB9" w:rsidP="007C5CB9">
      <w:pPr>
        <w:ind w:right="-22" w:firstLine="567"/>
        <w:jc w:val="both"/>
        <w:rPr>
          <w:szCs w:val="20"/>
        </w:rPr>
      </w:pPr>
      <w:r w:rsidRPr="007C5CB9">
        <w:rPr>
          <w:szCs w:val="20"/>
        </w:rPr>
        <w:t xml:space="preserve">Įstaigos „Čiauškutės“ ir „Šermukšnėlės“ skyriuose atlikti </w:t>
      </w:r>
      <w:bookmarkStart w:id="3" w:name="_Hlk133842854"/>
      <w:r w:rsidRPr="007C5CB9">
        <w:rPr>
          <w:szCs w:val="20"/>
        </w:rPr>
        <w:t>Valstybinės maisto ir veterinarijos Klaipėdos departamento patikrinima</w:t>
      </w:r>
      <w:bookmarkEnd w:id="3"/>
      <w:r w:rsidRPr="007C5CB9">
        <w:rPr>
          <w:szCs w:val="20"/>
        </w:rPr>
        <w:t>i (patikrinimo aktas Nr.</w:t>
      </w:r>
      <w:r w:rsidRPr="007C5CB9">
        <w:rPr>
          <w:rFonts w:asciiTheme="minorHAnsi" w:eastAsiaTheme="minorHAnsi" w:hAnsiTheme="minorHAnsi" w:cstheme="minorBidi"/>
          <w:sz w:val="22"/>
          <w:szCs w:val="22"/>
        </w:rPr>
        <w:t xml:space="preserve"> </w:t>
      </w:r>
      <w:r w:rsidRPr="007C5CB9">
        <w:rPr>
          <w:szCs w:val="20"/>
        </w:rPr>
        <w:t>37VMĮP-1819; patikrinimo aktas Nr.</w:t>
      </w:r>
      <w:r w:rsidRPr="007C5CB9">
        <w:rPr>
          <w:rFonts w:asciiTheme="minorHAnsi" w:eastAsiaTheme="minorHAnsi" w:hAnsiTheme="minorHAnsi" w:cstheme="minorBidi"/>
          <w:sz w:val="22"/>
          <w:szCs w:val="22"/>
        </w:rPr>
        <w:t xml:space="preserve"> </w:t>
      </w:r>
      <w:r w:rsidRPr="007C5CB9">
        <w:rPr>
          <w:szCs w:val="20"/>
        </w:rPr>
        <w:t>37VMĮP-1824). Aktų išvados: savikontrolė vykdoma, vadovaujantis viešojo maitinimo įmonių GHPT, sistema įdiegta. Nustatyt</w:t>
      </w:r>
      <w:r w:rsidR="00DB17AE">
        <w:rPr>
          <w:szCs w:val="20"/>
        </w:rPr>
        <w:t>i t</w:t>
      </w:r>
      <w:r w:rsidRPr="007C5CB9">
        <w:rPr>
          <w:szCs w:val="20"/>
        </w:rPr>
        <w:t>rūkumai pašalinti.</w:t>
      </w:r>
    </w:p>
    <w:p w:rsidR="007C5CB9" w:rsidRPr="009C600A" w:rsidRDefault="007C5CB9" w:rsidP="007C5CB9">
      <w:pPr>
        <w:ind w:right="-22" w:firstLine="567"/>
        <w:jc w:val="both"/>
        <w:rPr>
          <w:szCs w:val="20"/>
        </w:rPr>
      </w:pPr>
      <w:r w:rsidRPr="007C5CB9">
        <w:rPr>
          <w:szCs w:val="20"/>
        </w:rPr>
        <w:t>Įstaigos „Čiauškutės“ ir „Šermukšnėlės“ skyriuose vykdyta Vaikų žaidimo aikštel</w:t>
      </w:r>
      <w:r w:rsidR="00DB17AE">
        <w:rPr>
          <w:szCs w:val="20"/>
        </w:rPr>
        <w:t>ių</w:t>
      </w:r>
      <w:r w:rsidR="00B52055">
        <w:rPr>
          <w:szCs w:val="20"/>
        </w:rPr>
        <w:t xml:space="preserve"> </w:t>
      </w:r>
      <w:r w:rsidRPr="007C5CB9">
        <w:rPr>
          <w:szCs w:val="20"/>
        </w:rPr>
        <w:t xml:space="preserve">patikra, kurią atliko UAB Tuvlita (ataskaitos Nr. 22-06-484; Nr. 22-06-485). Vaikų žaidimų aikštelės įrenginiai atitinka LST EN 1176:2018, 2019 reikalavimus. Pažeidimų nenustatyta; nustatyti žemos rizikos trūkumai, įrenginiai tinkami saugiai naudoti. Rekomenduota atlikti korekcinius veiksmus pagal pateiktas </w:t>
      </w:r>
      <w:r w:rsidRPr="009C600A">
        <w:rPr>
          <w:szCs w:val="20"/>
        </w:rPr>
        <w:t>pastabas.</w:t>
      </w:r>
    </w:p>
    <w:p w:rsidR="007C5CB9" w:rsidRPr="007C5CB9" w:rsidRDefault="007C5CB9" w:rsidP="007C5CB9">
      <w:pPr>
        <w:ind w:right="-22" w:firstLine="567"/>
        <w:jc w:val="both"/>
        <w:rPr>
          <w:szCs w:val="20"/>
          <w:lang w:eastAsia="lt-LT"/>
        </w:rPr>
      </w:pPr>
      <w:r w:rsidRPr="007C5CB9">
        <w:rPr>
          <w:szCs w:val="20"/>
        </w:rPr>
        <w:t>2022 m. Įstaigoje liko neišspręstos tokios vidaus ir išorės faktorių sąlygotos problemos:</w:t>
      </w:r>
      <w:r w:rsidRPr="007C5CB9">
        <w:rPr>
          <w:rFonts w:eastAsia="Calibri"/>
        </w:rPr>
        <w:t xml:space="preserve"> prasta pastato išorės būklė – būtina </w:t>
      </w:r>
      <w:r w:rsidRPr="007C5CB9">
        <w:rPr>
          <w:szCs w:val="20"/>
        </w:rPr>
        <w:t>pastato renovacija. Įstaigos „Šermukšnėlės“ skyriuje lopšelio grupėse jaučiamas pelėsis, būtina atlikti grindų atnaujinimo darbus (35</w:t>
      </w:r>
      <w:r w:rsidR="009C600A">
        <w:rPr>
          <w:szCs w:val="20"/>
        </w:rPr>
        <w:t xml:space="preserve"> </w:t>
      </w:r>
      <w:r w:rsidRPr="007C5CB9">
        <w:rPr>
          <w:szCs w:val="20"/>
        </w:rPr>
        <w:t xml:space="preserve">000 Eur), “Čiauškutės“ skyriuje </w:t>
      </w:r>
      <w:r w:rsidR="009C600A">
        <w:rPr>
          <w:szCs w:val="20"/>
        </w:rPr>
        <w:t xml:space="preserve">– </w:t>
      </w:r>
      <w:r w:rsidRPr="007C5CB9">
        <w:rPr>
          <w:szCs w:val="20"/>
        </w:rPr>
        <w:t>pakeisti vidaus patalpų duris (25</w:t>
      </w:r>
      <w:r w:rsidR="009C600A">
        <w:rPr>
          <w:szCs w:val="20"/>
        </w:rPr>
        <w:t xml:space="preserve"> </w:t>
      </w:r>
      <w:r w:rsidRPr="007C5CB9">
        <w:rPr>
          <w:szCs w:val="20"/>
        </w:rPr>
        <w:t xml:space="preserve">000 Eur), atnaujinti lauko aikštelių ir takų dangą, įsigyti informacinių ir komunikacinių technologijų, lauko užsiėmimams skirtą sportinį inventorių. </w:t>
      </w:r>
    </w:p>
    <w:p w:rsidR="005D5036" w:rsidRDefault="007C5CB9" w:rsidP="009C600A">
      <w:pPr>
        <w:ind w:firstLine="567"/>
        <w:jc w:val="both"/>
      </w:pPr>
      <w:r w:rsidRPr="007C5CB9">
        <w:t>Planuodama 2023 m. veiklą</w:t>
      </w:r>
      <w:r w:rsidR="009C600A">
        <w:t>,</w:t>
      </w:r>
      <w:r w:rsidRPr="007C5CB9">
        <w:t xml:space="preserve"> Įstaigos bendruomenė susitarė dėl tokio veiklos prioriteto: </w:t>
      </w:r>
      <w:r w:rsidRPr="007C5CB9">
        <w:rPr>
          <w:rFonts w:eastAsia="+mn-ea"/>
          <w:color w:val="000000"/>
          <w:kern w:val="24"/>
        </w:rPr>
        <w:t>ugdytinių pasiekimų ir veiksmingos švietimo pagalbos teikimas įvairių gebėjimų ugdytiniams, taikant pažangos matavimo sistemą</w:t>
      </w:r>
      <w:r w:rsidR="00352877">
        <w:rPr>
          <w:rFonts w:eastAsia="+mn-ea"/>
          <w:color w:val="000000"/>
          <w:kern w:val="24"/>
        </w:rPr>
        <w:t>.</w:t>
      </w:r>
    </w:p>
    <w:p w:rsidR="00852D98" w:rsidRDefault="00852D98" w:rsidP="004C067A"/>
    <w:p w:rsidR="00852D98" w:rsidRDefault="007C5CB9" w:rsidP="00404A4D">
      <w:pPr>
        <w:tabs>
          <w:tab w:val="left" w:pos="4253"/>
          <w:tab w:val="left" w:pos="7230"/>
        </w:tabs>
        <w:jc w:val="both"/>
        <w:rPr>
          <w:lang w:eastAsia="lt-LT"/>
        </w:rPr>
      </w:pPr>
      <w:r w:rsidRPr="000B67EE">
        <w:rPr>
          <w:lang w:eastAsia="lt-LT"/>
        </w:rPr>
        <w:t>Direktorė</w:t>
      </w:r>
      <w:r>
        <w:rPr>
          <w:lang w:eastAsia="lt-LT"/>
        </w:rPr>
        <w:t xml:space="preserve"> </w:t>
      </w:r>
      <w:r>
        <w:rPr>
          <w:lang w:eastAsia="lt-LT"/>
        </w:rPr>
        <w:tab/>
      </w:r>
      <w:r>
        <w:rPr>
          <w:lang w:eastAsia="lt-LT"/>
        </w:rPr>
        <w:tab/>
      </w:r>
      <w:r w:rsidRPr="000B67EE">
        <w:rPr>
          <w:lang w:eastAsia="lt-LT"/>
        </w:rPr>
        <w:t>Jolita Skirpstaitienė</w:t>
      </w:r>
    </w:p>
    <w:p w:rsidR="00C90FE6" w:rsidRDefault="00C90FE6" w:rsidP="00404A4D">
      <w:pPr>
        <w:jc w:val="center"/>
      </w:pPr>
    </w:p>
    <w:p w:rsidR="00852D98" w:rsidRDefault="00404A4D" w:rsidP="00404A4D">
      <w:pPr>
        <w:jc w:val="center"/>
      </w:pPr>
      <w:r>
        <w:t>–––––––––––––––––––––</w:t>
      </w:r>
      <w:r w:rsidR="00852D98">
        <w:t>_</w:t>
      </w:r>
    </w:p>
    <w:sectPr w:rsidR="00852D98"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C03FA">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1F7AF9"/>
    <w:rsid w:val="0034183E"/>
    <w:rsid w:val="00345E1A"/>
    <w:rsid w:val="00352877"/>
    <w:rsid w:val="00404A4D"/>
    <w:rsid w:val="004476DD"/>
    <w:rsid w:val="004659F0"/>
    <w:rsid w:val="004C067A"/>
    <w:rsid w:val="005221C1"/>
    <w:rsid w:val="00597EE8"/>
    <w:rsid w:val="005B434A"/>
    <w:rsid w:val="005D5036"/>
    <w:rsid w:val="005F495C"/>
    <w:rsid w:val="00616F5A"/>
    <w:rsid w:val="00664D68"/>
    <w:rsid w:val="00677042"/>
    <w:rsid w:val="0076524D"/>
    <w:rsid w:val="007B1666"/>
    <w:rsid w:val="007C5CB9"/>
    <w:rsid w:val="00832CC9"/>
    <w:rsid w:val="008354D5"/>
    <w:rsid w:val="00852D98"/>
    <w:rsid w:val="008E6E82"/>
    <w:rsid w:val="009C600A"/>
    <w:rsid w:val="00A339BB"/>
    <w:rsid w:val="00AF7D08"/>
    <w:rsid w:val="00B52055"/>
    <w:rsid w:val="00B750B6"/>
    <w:rsid w:val="00C50DC0"/>
    <w:rsid w:val="00C57681"/>
    <w:rsid w:val="00C77C54"/>
    <w:rsid w:val="00C90FE6"/>
    <w:rsid w:val="00CA4D3B"/>
    <w:rsid w:val="00CC03FA"/>
    <w:rsid w:val="00D42B72"/>
    <w:rsid w:val="00D57F27"/>
    <w:rsid w:val="00DB17AE"/>
    <w:rsid w:val="00DD319C"/>
    <w:rsid w:val="00E33871"/>
    <w:rsid w:val="00E56A73"/>
    <w:rsid w:val="00EB6882"/>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3227A"/>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7C5CB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45E1A"/>
    <w:rPr>
      <w:color w:val="0000FF" w:themeColor="hyperlink"/>
      <w:u w:val="single"/>
    </w:rPr>
  </w:style>
  <w:style w:type="character" w:customStyle="1" w:styleId="UnresolvedMention">
    <w:name w:val="Unresolved Mention"/>
    <w:basedOn w:val="Numatytasispastraiposriftas"/>
    <w:uiPriority w:val="99"/>
    <w:semiHidden/>
    <w:unhideWhenUsed/>
    <w:rsid w:val="00345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353187584">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7307</Words>
  <Characters>4166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2023-05-02T11:03:00Z</dcterms:created>
  <dcterms:modified xsi:type="dcterms:W3CDTF">2023-05-04T05:50:00Z</dcterms:modified>
</cp:coreProperties>
</file>